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9B" w:rsidRPr="009C6B9B" w:rsidRDefault="009C6B9B" w:rsidP="009C6B9B">
      <w:pPr>
        <w:shd w:val="clear" w:color="auto" w:fill="FFFFFF"/>
        <w:spacing w:after="450"/>
        <w:jc w:val="center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Целевое обучение в вузе</w:t>
      </w: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</w:r>
      <w:r w:rsidRPr="009C6B9B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(по образовательным программам высшего образования)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С 2024 года введен новый механизм </w:t>
      </w:r>
      <w:r w:rsidRPr="009C6B9B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целевого обучения и приема на целевое обучение.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Целевое обучение</w:t>
      </w: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 – это обучение в вузе по договору о целевом обучении с заказчиком целевого обучения.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Заказчик обязан оказывать студенту социальную поддержку в период обучения и после окончания обучения трудоустроить его.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Студент обязан освоить образовательную программу и отработать у заказчика или у другого работодателя от 3 до 5 лет.</w:t>
      </w:r>
    </w:p>
    <w:p w:rsidR="009C6B9B" w:rsidRPr="009C6B9B" w:rsidRDefault="009C6B9B" w:rsidP="009C6B9B">
      <w:pPr>
        <w:shd w:val="clear" w:color="auto" w:fill="FFFFFF"/>
        <w:spacing w:after="450"/>
        <w:jc w:val="center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Предложения о заключении договоров о целевом обучении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Заказчики формируют предложения о заключении договоров о целевом обучении для граждан, желающих заключить такой договор. Эти предложения публикуются в открытом доступе в сети Интернет – на Единой цифровой платформе в сфере занятости и трудовых отношений «Работа в России».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Предложение заказчика может быть адресовано:</w:t>
      </w: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1) гражданам, которые обучаются в вузе;</w:t>
      </w: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2) гражданам, которые поступают:</w:t>
      </w: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 xml:space="preserve">• на бесплатное целевое </w:t>
      </w:r>
      <w:proofErr w:type="gramStart"/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обучение по</w:t>
      </w:r>
      <w:proofErr w:type="gramEnd"/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 xml:space="preserve"> отдельному конкурсу на места специально выделенной целевой квоты;</w:t>
      </w: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• на бесплатное обучение на общих основаниях;</w:t>
      </w: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• на платное обучение.</w:t>
      </w:r>
    </w:p>
    <w:p w:rsidR="009C6B9B" w:rsidRPr="009C6B9B" w:rsidRDefault="009C6B9B" w:rsidP="009C6B9B">
      <w:pPr>
        <w:shd w:val="clear" w:color="auto" w:fill="FFFFFF"/>
        <w:spacing w:after="450"/>
        <w:jc w:val="center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Заявки на заключение договора о целевом обучении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Гражданин, который хочет заключить договор о целевом обучении, подает заявку на заключение договора о целевом обучении в соответствии с предложением заказчика.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• Если гражданин обучается в вузе, то заказчик рассматривает заявку и заключает с ним договор о целевом обучении.</w:t>
      </w: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• Если гражданин еще не обучается в вузе, то для заключения договора о целевом обучении он должен поступить в вуз.</w:t>
      </w:r>
    </w:p>
    <w:p w:rsidR="009C6B9B" w:rsidRPr="009C6B9B" w:rsidRDefault="009C6B9B" w:rsidP="009C6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  <w:r w:rsidRPr="009C6B9B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При этом есть 2 возможности:</w:t>
      </w:r>
      <w:r w:rsidRPr="009C6B9B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  <w:r w:rsidRPr="009C6B9B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lastRenderedPageBreak/>
        <w:t>• можно поступать по общему конкурсу (на бесплатное обучение на общих основаниях или на платное обучение);</w:t>
      </w: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• можно поступать по отдельному конкурсу на места целевой квоты.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От выбора этих возможностей зависит ответственность гражданина за неисполнение обязательств по договору о целевом обучении.</w:t>
      </w:r>
    </w:p>
    <w:p w:rsidR="009C6B9B" w:rsidRPr="009C6B9B" w:rsidRDefault="009C6B9B" w:rsidP="009C6B9B">
      <w:pPr>
        <w:shd w:val="clear" w:color="auto" w:fill="FFFFFF"/>
        <w:spacing w:after="450"/>
        <w:jc w:val="center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Ответственность гражданина за неисполнение обязательств по договору о целевом обучении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 xml:space="preserve">Ответственность за неисполнение обязательств по договору о целевом обучении – это санкции, которые применяются к гражданину в случае </w:t>
      </w:r>
      <w:proofErr w:type="spellStart"/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незавершения</w:t>
      </w:r>
      <w:proofErr w:type="spellEnd"/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 xml:space="preserve"> обучения или </w:t>
      </w:r>
      <w:proofErr w:type="spellStart"/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неотработки</w:t>
      </w:r>
      <w:proofErr w:type="spellEnd"/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.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proofErr w:type="gramStart"/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Если договор о целевом обучении заключен с гражданином, который обучается в вузе или поступил в вуз по общему конкурсу (на бесплатное обучение на общих основаниях или на платное обучение) и гражданин не завершил обучение или не отработал установленный срок, то он должен возместить заказчику затраты на меры поддержки, которые заказчик предоставил ему во время обучения.</w:t>
      </w:r>
      <w:proofErr w:type="gramEnd"/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Если договор о целевом обучении заключен с гражданином, который поступил в вуз не по общему конкурсу, а по отдельному конкурсу на места целевой квоты:</w:t>
      </w:r>
    </w:p>
    <w:p w:rsidR="009C6B9B" w:rsidRPr="009C6B9B" w:rsidRDefault="009C6B9B" w:rsidP="009C6B9B">
      <w:pPr>
        <w:shd w:val="clear" w:color="auto" w:fill="FFFFFF"/>
        <w:spacing w:after="450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• если гражданин не завершил обучение или не отработал установленный срок, то он должен дополнительно выплатить штраф в размере затрат на обучение;</w:t>
      </w:r>
      <w:r w:rsidRPr="009C6B9B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• если гражданин отказался заключить договор о целевом обучении или расторгнул его в самом начале обучения (в первом семестре), он отчисляется из вуза или может перевестись на платное обучение.</w:t>
      </w:r>
    </w:p>
    <w:p w:rsidR="000E0CD5" w:rsidRDefault="000E0CD5"/>
    <w:sectPr w:rsidR="000E0CD5" w:rsidSect="000E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B9B"/>
    <w:rsid w:val="000E0CD5"/>
    <w:rsid w:val="009C6B9B"/>
    <w:rsid w:val="00E34644"/>
    <w:rsid w:val="00EB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B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2024-06-20T06:02:00Z</dcterms:created>
  <dcterms:modified xsi:type="dcterms:W3CDTF">2024-06-20T06:02:00Z</dcterms:modified>
</cp:coreProperties>
</file>