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FF" w:rsidRDefault="00D612FF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2FF" w:rsidRDefault="00D612FF" w:rsidP="00D6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D612FF" w:rsidRDefault="00D612FF" w:rsidP="00D6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86" w:rsidRPr="000D19F1" w:rsidRDefault="00376586" w:rsidP="00376586">
      <w:pPr>
        <w:spacing w:after="0" w:line="408" w:lineRule="auto"/>
        <w:ind w:left="120"/>
        <w:jc w:val="center"/>
      </w:pPr>
      <w:r w:rsidRPr="000D19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76586" w:rsidRPr="000D19F1" w:rsidRDefault="00376586" w:rsidP="00376586">
      <w:pPr>
        <w:spacing w:after="0" w:line="408" w:lineRule="auto"/>
        <w:ind w:left="120"/>
        <w:jc w:val="center"/>
      </w:pPr>
      <w:r w:rsidRPr="000D19F1"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 w:rsidRPr="000D19F1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0D19F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76586" w:rsidRPr="000D19F1" w:rsidRDefault="00376586" w:rsidP="00376586">
      <w:pPr>
        <w:spacing w:after="0" w:line="408" w:lineRule="auto"/>
        <w:ind w:left="120"/>
        <w:jc w:val="center"/>
      </w:pPr>
      <w:r w:rsidRPr="000D19F1">
        <w:rPr>
          <w:rFonts w:ascii="Times New Roman" w:hAnsi="Times New Roman"/>
          <w:b/>
          <w:color w:val="000000"/>
          <w:sz w:val="28"/>
        </w:rPr>
        <w:t>‌</w:t>
      </w:r>
      <w:bookmarkStart w:id="1" w:name="b160c1bf-440c-4991-9e94-e52aab997657"/>
      <w:r w:rsidRPr="000D19F1">
        <w:rPr>
          <w:rFonts w:ascii="Times New Roman" w:hAnsi="Times New Roman"/>
          <w:b/>
          <w:color w:val="000000"/>
          <w:sz w:val="28"/>
        </w:rPr>
        <w:t>Администрация МО "Дорогобужский район" Смоленской области</w:t>
      </w:r>
      <w:bookmarkEnd w:id="1"/>
      <w:r w:rsidRPr="000D19F1">
        <w:rPr>
          <w:rFonts w:ascii="Times New Roman" w:hAnsi="Times New Roman"/>
          <w:b/>
          <w:color w:val="000000"/>
          <w:sz w:val="28"/>
        </w:rPr>
        <w:t>‌</w:t>
      </w:r>
      <w:r w:rsidRPr="000D19F1">
        <w:rPr>
          <w:rFonts w:ascii="Times New Roman" w:hAnsi="Times New Roman"/>
          <w:color w:val="000000"/>
          <w:sz w:val="28"/>
        </w:rPr>
        <w:t>​</w:t>
      </w:r>
    </w:p>
    <w:tbl>
      <w:tblPr>
        <w:tblpPr w:leftFromText="180" w:rightFromText="180" w:vertAnchor="text" w:horzAnchor="margin" w:tblpY="915"/>
        <w:tblW w:w="0" w:type="auto"/>
        <w:tblLook w:val="04A0"/>
      </w:tblPr>
      <w:tblGrid>
        <w:gridCol w:w="3114"/>
        <w:gridCol w:w="3115"/>
        <w:gridCol w:w="3115"/>
      </w:tblGrid>
      <w:tr w:rsidR="00376586" w:rsidRPr="00786B3D" w:rsidTr="00376586">
        <w:tc>
          <w:tcPr>
            <w:tcW w:w="3114" w:type="dxa"/>
          </w:tcPr>
          <w:p w:rsidR="00376586" w:rsidRPr="0040209D" w:rsidRDefault="00376586" w:rsidP="003765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76586" w:rsidRPr="008944ED" w:rsidRDefault="00376586" w:rsidP="003765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376586" w:rsidRDefault="00376586" w:rsidP="003765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6586" w:rsidRPr="008944ED" w:rsidRDefault="00376586" w:rsidP="003765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 В.В.</w:t>
            </w:r>
          </w:p>
          <w:p w:rsidR="00376586" w:rsidRDefault="00376586" w:rsidP="003765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  <w:r w:rsidR="00F707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76586" w:rsidRPr="0040209D" w:rsidRDefault="00376586" w:rsidP="003765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6586" w:rsidRPr="0040209D" w:rsidRDefault="00376586" w:rsidP="003765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6586" w:rsidRDefault="00376586" w:rsidP="003765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76586" w:rsidRPr="008944ED" w:rsidRDefault="00376586" w:rsidP="003765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76586" w:rsidRDefault="00376586" w:rsidP="003765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6586" w:rsidRPr="008944ED" w:rsidRDefault="00376586" w:rsidP="003765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 В.В.</w:t>
            </w:r>
          </w:p>
          <w:p w:rsidR="00376586" w:rsidRDefault="00376586" w:rsidP="003765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Приказ№.......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07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76586" w:rsidRPr="0040209D" w:rsidRDefault="00376586" w:rsidP="003765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76586" w:rsidRDefault="00376586" w:rsidP="003765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376586" w:rsidRDefault="00376586" w:rsidP="00376586">
      <w:pPr>
        <w:spacing w:after="0"/>
        <w:ind w:left="120"/>
      </w:pPr>
    </w:p>
    <w:p w:rsidR="00376586" w:rsidRDefault="00376586" w:rsidP="00376586">
      <w:pPr>
        <w:spacing w:after="0"/>
      </w:pPr>
    </w:p>
    <w:p w:rsidR="00376586" w:rsidRDefault="00376586" w:rsidP="00376586">
      <w:pPr>
        <w:spacing w:after="0"/>
        <w:ind w:left="120"/>
        <w:jc w:val="center"/>
      </w:pPr>
    </w:p>
    <w:p w:rsidR="00376586" w:rsidRDefault="00376586" w:rsidP="003765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6586" w:rsidRPr="004D6681" w:rsidRDefault="00376586" w:rsidP="00376586">
      <w:pPr>
        <w:spacing w:after="0"/>
        <w:ind w:left="120"/>
        <w:jc w:val="center"/>
      </w:pPr>
    </w:p>
    <w:p w:rsidR="00376586" w:rsidRPr="004D6681" w:rsidRDefault="00376586" w:rsidP="00376586">
      <w:pPr>
        <w:spacing w:after="0"/>
        <w:ind w:left="120"/>
        <w:jc w:val="center"/>
      </w:pPr>
    </w:p>
    <w:p w:rsidR="00D612FF" w:rsidRDefault="00D612FF" w:rsidP="0037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612FF" w:rsidRDefault="00D612FF" w:rsidP="0037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D612FF" w:rsidRDefault="00D612FF" w:rsidP="00376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</w:t>
      </w:r>
      <w:r w:rsidR="00376586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7658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</w:p>
    <w:p w:rsidR="00D612FF" w:rsidRDefault="00376586" w:rsidP="00376586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FF" w:rsidRDefault="00D612FF" w:rsidP="00D612FF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D612FF" w:rsidRDefault="00D612FF" w:rsidP="00D612FF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D612FF" w:rsidRDefault="00D612FF" w:rsidP="00D612FF">
      <w:pPr>
        <w:spacing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Кузьмина Елена Николаевна</w:t>
      </w:r>
    </w:p>
    <w:p w:rsidR="00D612FF" w:rsidRPr="00215FB0" w:rsidRDefault="00D612FF" w:rsidP="00D612FF">
      <w:pPr>
        <w:spacing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612FF" w:rsidRDefault="00D612FF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1D5" w:rsidRDefault="007871D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1D5" w:rsidRDefault="007871D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1D5" w:rsidRDefault="007871D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1D5" w:rsidRDefault="007871D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86" w:rsidRDefault="00376586" w:rsidP="00376586">
      <w:pPr>
        <w:spacing w:after="0"/>
        <w:jc w:val="center"/>
      </w:pPr>
      <w:bookmarkStart w:id="2" w:name="8960954b-15b1-4c85-b40b-ae95f67136d9"/>
      <w:r>
        <w:rPr>
          <w:rFonts w:ascii="Times New Roman" w:hAnsi="Times New Roman"/>
          <w:b/>
          <w:color w:val="000000"/>
          <w:sz w:val="28"/>
        </w:rPr>
        <w:t>г. Дорогобуж</w:t>
      </w:r>
      <w:bookmarkStart w:id="3" w:name="2b7bbf9c-2491-40e5-bd35-a2a44bd1331b"/>
      <w:bookmarkEnd w:id="2"/>
      <w:r w:rsidR="007871D5">
        <w:rPr>
          <w:rFonts w:ascii="Times New Roman" w:hAnsi="Times New Roman"/>
          <w:b/>
          <w:color w:val="000000"/>
          <w:sz w:val="28"/>
        </w:rPr>
        <w:t xml:space="preserve">‌, </w:t>
      </w:r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612FF" w:rsidRDefault="00D612FF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612FF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D612FF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D612F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для 1-4 классов(авторы-составители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спользоватьразличные способы поиска, сбора, обработки,анализа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медведя, лису и мишкин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D612F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D612F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D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DB2" w:rsidRDefault="00AD0DB2" w:rsidP="00462DA2">
      <w:pPr>
        <w:spacing w:after="0" w:line="240" w:lineRule="auto"/>
      </w:pPr>
      <w:r>
        <w:separator/>
      </w:r>
    </w:p>
  </w:endnote>
  <w:endnote w:type="continuationSeparator" w:id="1">
    <w:p w:rsidR="00AD0DB2" w:rsidRDefault="00AD0DB2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376586" w:rsidRDefault="005A750A">
        <w:pPr>
          <w:pStyle w:val="a5"/>
          <w:jc w:val="center"/>
        </w:pPr>
        <w:fldSimple w:instr="PAGE   \* MERGEFORMAT">
          <w:r w:rsidR="00F70774">
            <w:rPr>
              <w:noProof/>
            </w:rPr>
            <w:t>2</w:t>
          </w:r>
        </w:fldSimple>
      </w:p>
    </w:sdtContent>
  </w:sdt>
  <w:p w:rsidR="00376586" w:rsidRDefault="00376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DB2" w:rsidRDefault="00AD0DB2" w:rsidP="00462DA2">
      <w:pPr>
        <w:spacing w:after="0" w:line="240" w:lineRule="auto"/>
      </w:pPr>
      <w:r>
        <w:separator/>
      </w:r>
    </w:p>
  </w:footnote>
  <w:footnote w:type="continuationSeparator" w:id="1">
    <w:p w:rsidR="00AD0DB2" w:rsidRDefault="00AD0DB2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8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A4C2F"/>
    <w:rsid w:val="000D3998"/>
    <w:rsid w:val="00227100"/>
    <w:rsid w:val="00376586"/>
    <w:rsid w:val="003805B3"/>
    <w:rsid w:val="004426DD"/>
    <w:rsid w:val="00455A6D"/>
    <w:rsid w:val="00462DA2"/>
    <w:rsid w:val="00474595"/>
    <w:rsid w:val="005668D3"/>
    <w:rsid w:val="005A750A"/>
    <w:rsid w:val="005C5ECF"/>
    <w:rsid w:val="005E0753"/>
    <w:rsid w:val="006723BB"/>
    <w:rsid w:val="00672C02"/>
    <w:rsid w:val="006C4813"/>
    <w:rsid w:val="00745754"/>
    <w:rsid w:val="00770A12"/>
    <w:rsid w:val="007736BC"/>
    <w:rsid w:val="007871D5"/>
    <w:rsid w:val="00807516"/>
    <w:rsid w:val="008B3336"/>
    <w:rsid w:val="00917113"/>
    <w:rsid w:val="00963622"/>
    <w:rsid w:val="00990E87"/>
    <w:rsid w:val="00A67385"/>
    <w:rsid w:val="00AD0DB2"/>
    <w:rsid w:val="00AF2FE6"/>
    <w:rsid w:val="00B230F1"/>
    <w:rsid w:val="00B32118"/>
    <w:rsid w:val="00B82E52"/>
    <w:rsid w:val="00BE3B16"/>
    <w:rsid w:val="00BE646C"/>
    <w:rsid w:val="00C0152F"/>
    <w:rsid w:val="00C168F1"/>
    <w:rsid w:val="00C70208"/>
    <w:rsid w:val="00CC5348"/>
    <w:rsid w:val="00D612FF"/>
    <w:rsid w:val="00F70774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36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F64-2338-49E2-8FE4-CBAD5B5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Пользователь Windows</cp:lastModifiedBy>
  <cp:revision>10</cp:revision>
  <cp:lastPrinted>2023-09-28T03:55:00Z</cp:lastPrinted>
  <dcterms:created xsi:type="dcterms:W3CDTF">2022-06-11T13:55:00Z</dcterms:created>
  <dcterms:modified xsi:type="dcterms:W3CDTF">2023-09-28T03:56:00Z</dcterms:modified>
</cp:coreProperties>
</file>